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86" w:rsidRDefault="001E19D4" w:rsidP="00615B6B">
      <w:pPr>
        <w:spacing w:after="219"/>
        <w:ind w:left="-1" w:right="-616"/>
      </w:pPr>
      <w:r>
        <w:rPr>
          <w:noProof/>
        </w:rPr>
        <mc:AlternateContent>
          <mc:Choice Requires="wpg">
            <w:drawing>
              <wp:inline distT="0" distB="0" distL="0" distR="0">
                <wp:extent cx="6057900" cy="914400"/>
                <wp:effectExtent l="0" t="0" r="0" b="0"/>
                <wp:docPr id="709" name="Group 709"/>
                <wp:cNvGraphicFramePr/>
                <a:graphic xmlns:a="http://schemas.openxmlformats.org/drawingml/2006/main">
                  <a:graphicData uri="http://schemas.microsoft.com/office/word/2010/wordprocessingGroup">
                    <wpg:wgp>
                      <wpg:cNvGrpSpPr/>
                      <wpg:grpSpPr>
                        <a:xfrm>
                          <a:off x="0" y="0"/>
                          <a:ext cx="6057900" cy="914400"/>
                          <a:chOff x="0" y="0"/>
                          <a:chExt cx="6057900" cy="914400"/>
                        </a:xfrm>
                      </wpg:grpSpPr>
                      <wps:wsp>
                        <wps:cNvPr id="6" name="Rectangle 6"/>
                        <wps:cNvSpPr/>
                        <wps:spPr>
                          <a:xfrm>
                            <a:off x="216218" y="177115"/>
                            <a:ext cx="44592" cy="202692"/>
                          </a:xfrm>
                          <a:prstGeom prst="rect">
                            <a:avLst/>
                          </a:prstGeom>
                          <a:ln>
                            <a:noFill/>
                          </a:ln>
                        </wps:spPr>
                        <wps:txbx>
                          <w:txbxContent>
                            <w:p w:rsidR="00113386" w:rsidRDefault="001E19D4">
                              <w:r>
                                <w:rPr>
                                  <w:rFonts w:ascii="Cambria" w:eastAsia="Cambria" w:hAnsi="Cambria" w:cs="Cambria"/>
                                  <w:sz w:val="24"/>
                                </w:rPr>
                                <w:t xml:space="preserve"> </w:t>
                              </w:r>
                            </w:p>
                          </w:txbxContent>
                        </wps:txbx>
                        <wps:bodyPr horzOverflow="overflow" vert="horz" lIns="0" tIns="0" rIns="0" bIns="0" rtlCol="0">
                          <a:noAutofit/>
                        </wps:bodyPr>
                      </wps:wsp>
                      <wps:wsp>
                        <wps:cNvPr id="926" name="Shape 926"/>
                        <wps:cNvSpPr/>
                        <wps:spPr>
                          <a:xfrm>
                            <a:off x="0" y="0"/>
                            <a:ext cx="118745" cy="914400"/>
                          </a:xfrm>
                          <a:custGeom>
                            <a:avLst/>
                            <a:gdLst/>
                            <a:ahLst/>
                            <a:cxnLst/>
                            <a:rect l="0" t="0" r="0" b="0"/>
                            <a:pathLst>
                              <a:path w="118745" h="914400">
                                <a:moveTo>
                                  <a:pt x="0" y="0"/>
                                </a:moveTo>
                                <a:lnTo>
                                  <a:pt x="118745" y="0"/>
                                </a:lnTo>
                                <a:lnTo>
                                  <a:pt x="118745" y="914400"/>
                                </a:lnTo>
                                <a:lnTo>
                                  <a:pt x="0" y="914400"/>
                                </a:lnTo>
                                <a:lnTo>
                                  <a:pt x="0" y="0"/>
                                </a:lnTo>
                              </a:path>
                            </a:pathLst>
                          </a:custGeom>
                          <a:ln w="0" cap="flat">
                            <a:miter lim="127000"/>
                          </a:ln>
                        </wps:spPr>
                        <wps:style>
                          <a:lnRef idx="0">
                            <a:srgbClr val="000000">
                              <a:alpha val="0"/>
                            </a:srgbClr>
                          </a:lnRef>
                          <a:fillRef idx="1">
                            <a:srgbClr val="09485D"/>
                          </a:fillRef>
                          <a:effectRef idx="0">
                            <a:scrgbClr r="0" g="0" b="0"/>
                          </a:effectRef>
                          <a:fontRef idx="none"/>
                        </wps:style>
                        <wps:bodyPr/>
                      </wps:wsp>
                      <wps:wsp>
                        <wps:cNvPr id="91" name="Rectangle 91"/>
                        <wps:cNvSpPr/>
                        <wps:spPr>
                          <a:xfrm>
                            <a:off x="206693" y="427881"/>
                            <a:ext cx="1114603" cy="219583"/>
                          </a:xfrm>
                          <a:prstGeom prst="rect">
                            <a:avLst/>
                          </a:prstGeom>
                          <a:ln>
                            <a:noFill/>
                          </a:ln>
                        </wps:spPr>
                        <wps:txbx>
                          <w:txbxContent>
                            <w:p w:rsidR="00113386" w:rsidRDefault="001E19D4">
                              <w:r>
                                <w:rPr>
                                  <w:rFonts w:ascii="Sitka Small" w:eastAsia="Sitka Small" w:hAnsi="Sitka Small" w:cs="Sitka Small"/>
                                  <w:color w:val="205C24"/>
                                  <w:sz w:val="26"/>
                                </w:rPr>
                                <w:t xml:space="preserve">LARIMER </w:t>
                              </w:r>
                            </w:p>
                          </w:txbxContent>
                        </wps:txbx>
                        <wps:bodyPr horzOverflow="overflow" vert="horz" lIns="0" tIns="0" rIns="0" bIns="0" rtlCol="0">
                          <a:noAutofit/>
                        </wps:bodyPr>
                      </wps:wsp>
                      <wps:wsp>
                        <wps:cNvPr id="92" name="Rectangle 92"/>
                        <wps:cNvSpPr/>
                        <wps:spPr>
                          <a:xfrm>
                            <a:off x="1045591" y="427881"/>
                            <a:ext cx="1203754" cy="219583"/>
                          </a:xfrm>
                          <a:prstGeom prst="rect">
                            <a:avLst/>
                          </a:prstGeom>
                          <a:ln>
                            <a:noFill/>
                          </a:ln>
                        </wps:spPr>
                        <wps:txbx>
                          <w:txbxContent>
                            <w:p w:rsidR="00113386" w:rsidRDefault="001E19D4">
                              <w:r>
                                <w:rPr>
                                  <w:rFonts w:ascii="Sitka Small" w:eastAsia="Sitka Small" w:hAnsi="Sitka Small" w:cs="Sitka Small"/>
                                  <w:color w:val="205C24"/>
                                  <w:sz w:val="26"/>
                                </w:rPr>
                                <w:t xml:space="preserve">COUNTY | </w:t>
                              </w:r>
                            </w:p>
                          </w:txbxContent>
                        </wps:txbx>
                        <wps:bodyPr horzOverflow="overflow" vert="horz" lIns="0" tIns="0" rIns="0" bIns="0" rtlCol="0">
                          <a:noAutofit/>
                        </wps:bodyPr>
                      </wps:wsp>
                      <wps:wsp>
                        <wps:cNvPr id="93" name="Rectangle 93"/>
                        <wps:cNvSpPr/>
                        <wps:spPr>
                          <a:xfrm>
                            <a:off x="1953895" y="427881"/>
                            <a:ext cx="5028670" cy="219583"/>
                          </a:xfrm>
                          <a:prstGeom prst="rect">
                            <a:avLst/>
                          </a:prstGeom>
                          <a:ln>
                            <a:noFill/>
                          </a:ln>
                        </wps:spPr>
                        <wps:txbx>
                          <w:txbxContent>
                            <w:p w:rsidR="00113386" w:rsidRDefault="001E19D4">
                              <w:r>
                                <w:rPr>
                                  <w:rFonts w:ascii="Sitka Small" w:eastAsia="Sitka Small" w:hAnsi="Sitka Small" w:cs="Sitka Small"/>
                                  <w:color w:val="205C24"/>
                                  <w:sz w:val="26"/>
                                </w:rPr>
                                <w:t>LOCAL EMERGENCY PLANNING COMMITTEE</w:t>
                              </w:r>
                            </w:p>
                          </w:txbxContent>
                        </wps:txbx>
                        <wps:bodyPr horzOverflow="overflow" vert="horz" lIns="0" tIns="0" rIns="0" bIns="0" rtlCol="0">
                          <a:noAutofit/>
                        </wps:bodyPr>
                      </wps:wsp>
                      <wps:wsp>
                        <wps:cNvPr id="94" name="Rectangle 94"/>
                        <wps:cNvSpPr/>
                        <wps:spPr>
                          <a:xfrm>
                            <a:off x="5736590" y="427881"/>
                            <a:ext cx="67852" cy="219583"/>
                          </a:xfrm>
                          <a:prstGeom prst="rect">
                            <a:avLst/>
                          </a:prstGeom>
                          <a:ln>
                            <a:noFill/>
                          </a:ln>
                        </wps:spPr>
                        <wps:txbx>
                          <w:txbxContent>
                            <w:p w:rsidR="00113386" w:rsidRDefault="001E19D4">
                              <w:r>
                                <w:rPr>
                                  <w:rFonts w:ascii="Sitka Small" w:eastAsia="Sitka Small" w:hAnsi="Sitka Small" w:cs="Sitka Small"/>
                                  <w:color w:val="205C24"/>
                                  <w:sz w:val="26"/>
                                </w:rPr>
                                <w:t xml:space="preserve"> </w:t>
                              </w:r>
                            </w:p>
                          </w:txbxContent>
                        </wps:txbx>
                        <wps:bodyPr horzOverflow="overflow" vert="horz" lIns="0" tIns="0" rIns="0" bIns="0" rtlCol="0">
                          <a:noAutofit/>
                        </wps:bodyPr>
                      </wps:wsp>
                      <wps:wsp>
                        <wps:cNvPr id="95" name="Rectangle 95"/>
                        <wps:cNvSpPr/>
                        <wps:spPr>
                          <a:xfrm>
                            <a:off x="206693" y="797306"/>
                            <a:ext cx="2677207" cy="154840"/>
                          </a:xfrm>
                          <a:prstGeom prst="rect">
                            <a:avLst/>
                          </a:prstGeom>
                          <a:ln>
                            <a:noFill/>
                          </a:ln>
                        </wps:spPr>
                        <wps:txbx>
                          <w:txbxContent>
                            <w:p w:rsidR="00113386" w:rsidRDefault="001E19D4">
                              <w:r>
                                <w:rPr>
                                  <w:color w:val="205C24"/>
                                  <w:sz w:val="18"/>
                                </w:rPr>
                                <w:t>P.O. Box 1190, Fort Collins, Colorado 80522</w:t>
                              </w:r>
                            </w:p>
                          </w:txbxContent>
                        </wps:txbx>
                        <wps:bodyPr horzOverflow="overflow" vert="horz" lIns="0" tIns="0" rIns="0" bIns="0" rtlCol="0">
                          <a:noAutofit/>
                        </wps:bodyPr>
                      </wps:wsp>
                      <wps:wsp>
                        <wps:cNvPr id="96" name="Rectangle 96"/>
                        <wps:cNvSpPr/>
                        <wps:spPr>
                          <a:xfrm>
                            <a:off x="2220595" y="797306"/>
                            <a:ext cx="46518" cy="154840"/>
                          </a:xfrm>
                          <a:prstGeom prst="rect">
                            <a:avLst/>
                          </a:prstGeom>
                          <a:ln>
                            <a:noFill/>
                          </a:ln>
                        </wps:spPr>
                        <wps:txbx>
                          <w:txbxContent>
                            <w:p w:rsidR="00113386" w:rsidRDefault="001E19D4">
                              <w:r>
                                <w:rPr>
                                  <w:color w:val="205C24"/>
                                  <w:sz w:val="18"/>
                                </w:rPr>
                                <w:t>-</w:t>
                              </w:r>
                            </w:p>
                          </w:txbxContent>
                        </wps:txbx>
                        <wps:bodyPr horzOverflow="overflow" vert="horz" lIns="0" tIns="0" rIns="0" bIns="0" rtlCol="0">
                          <a:noAutofit/>
                        </wps:bodyPr>
                      </wps:wsp>
                      <wps:wsp>
                        <wps:cNvPr id="699" name="Rectangle 699"/>
                        <wps:cNvSpPr/>
                        <wps:spPr>
                          <a:xfrm>
                            <a:off x="2255520" y="797306"/>
                            <a:ext cx="309207" cy="154840"/>
                          </a:xfrm>
                          <a:prstGeom prst="rect">
                            <a:avLst/>
                          </a:prstGeom>
                          <a:ln>
                            <a:noFill/>
                          </a:ln>
                        </wps:spPr>
                        <wps:txbx>
                          <w:txbxContent>
                            <w:p w:rsidR="00113386" w:rsidRDefault="001E19D4">
                              <w:r>
                                <w:rPr>
                                  <w:color w:val="205C24"/>
                                  <w:sz w:val="18"/>
                                </w:rPr>
                                <w:t>1190</w:t>
                              </w:r>
                            </w:p>
                          </w:txbxContent>
                        </wps:txbx>
                        <wps:bodyPr horzOverflow="overflow" vert="horz" lIns="0" tIns="0" rIns="0" bIns="0" rtlCol="0">
                          <a:noAutofit/>
                        </wps:bodyPr>
                      </wps:wsp>
                      <wps:wsp>
                        <wps:cNvPr id="700" name="Rectangle 700"/>
                        <wps:cNvSpPr/>
                        <wps:spPr>
                          <a:xfrm>
                            <a:off x="2487206" y="797306"/>
                            <a:ext cx="1717358" cy="154840"/>
                          </a:xfrm>
                          <a:prstGeom prst="rect">
                            <a:avLst/>
                          </a:prstGeom>
                          <a:ln>
                            <a:noFill/>
                          </a:ln>
                        </wps:spPr>
                        <wps:txbx>
                          <w:txbxContent>
                            <w:p w:rsidR="00113386" w:rsidRDefault="001E19D4">
                              <w:r>
                                <w:rPr>
                                  <w:color w:val="205C24"/>
                                  <w:sz w:val="18"/>
                                </w:rPr>
                                <w:t>, 970.498.7010, Larimer.org</w:t>
                              </w:r>
                            </w:p>
                          </w:txbxContent>
                        </wps:txbx>
                        <wps:bodyPr horzOverflow="overflow" vert="horz" lIns="0" tIns="0" rIns="0" bIns="0" rtlCol="0">
                          <a:noAutofit/>
                        </wps:bodyPr>
                      </wps:wsp>
                      <wps:wsp>
                        <wps:cNvPr id="98" name="Rectangle 98"/>
                        <wps:cNvSpPr/>
                        <wps:spPr>
                          <a:xfrm>
                            <a:off x="3776980" y="797306"/>
                            <a:ext cx="34356" cy="154840"/>
                          </a:xfrm>
                          <a:prstGeom prst="rect">
                            <a:avLst/>
                          </a:prstGeom>
                          <a:ln>
                            <a:noFill/>
                          </a:ln>
                        </wps:spPr>
                        <wps:txbx>
                          <w:txbxContent>
                            <w:p w:rsidR="00113386" w:rsidRDefault="001E19D4">
                              <w:r>
                                <w:rPr>
                                  <w:color w:val="205C24"/>
                                  <w:sz w:val="18"/>
                                </w:rPr>
                                <w:t xml:space="preserve"> </w:t>
                              </w:r>
                            </w:p>
                          </w:txbxContent>
                        </wps:txbx>
                        <wps:bodyPr horzOverflow="overflow" vert="horz" lIns="0" tIns="0" rIns="0" bIns="0" rtlCol="0">
                          <a:noAutofit/>
                        </wps:bodyPr>
                      </wps:wsp>
                      <wps:wsp>
                        <wps:cNvPr id="99" name="Shape 99"/>
                        <wps:cNvSpPr/>
                        <wps:spPr>
                          <a:xfrm>
                            <a:off x="114300" y="685800"/>
                            <a:ext cx="5943600" cy="0"/>
                          </a:xfrm>
                          <a:custGeom>
                            <a:avLst/>
                            <a:gdLst/>
                            <a:ahLst/>
                            <a:cxnLst/>
                            <a:rect l="0" t="0" r="0" b="0"/>
                            <a:pathLst>
                              <a:path w="5943600">
                                <a:moveTo>
                                  <a:pt x="0" y="0"/>
                                </a:moveTo>
                                <a:lnTo>
                                  <a:pt x="5943600" y="0"/>
                                </a:lnTo>
                              </a:path>
                            </a:pathLst>
                          </a:custGeom>
                          <a:ln w="25400" cap="flat">
                            <a:round/>
                          </a:ln>
                        </wps:spPr>
                        <wps:style>
                          <a:lnRef idx="1">
                            <a:srgbClr val="09485D"/>
                          </a:lnRef>
                          <a:fillRef idx="0">
                            <a:srgbClr val="000000">
                              <a:alpha val="0"/>
                            </a:srgbClr>
                          </a:fillRef>
                          <a:effectRef idx="0">
                            <a:scrgbClr r="0" g="0" b="0"/>
                          </a:effectRef>
                          <a:fontRef idx="none"/>
                        </wps:style>
                        <wps:bodyPr/>
                      </wps:wsp>
                    </wpg:wgp>
                  </a:graphicData>
                </a:graphic>
              </wp:inline>
            </w:drawing>
          </mc:Choice>
          <mc:Fallback>
            <w:pict>
              <v:group id="Group 709" o:spid="_x0000_s1026" style="width:477pt;height:1in;mso-position-horizontal-relative:char;mso-position-vertical-relative:line" coordsize="6057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">
                <v:rect id="Rectangle 6" o:spid="_x0000_s1027" style="position:absolute;left:2162;top:1771;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13386" w:rsidRDefault="001E19D4">
                        <w:r>
                          <w:rPr>
                            <w:rFonts w:ascii="Cambria" w:eastAsia="Cambria" w:hAnsi="Cambria" w:cs="Cambria"/>
                            <w:sz w:val="24"/>
                          </w:rPr>
                          <w:t xml:space="preserve"> </w:t>
                        </w:r>
                      </w:p>
                    </w:txbxContent>
                  </v:textbox>
                </v:rect>
                <v:shape id="Shape 926" o:spid="_x0000_s1028" style="position:absolute;width:1187;height:9144;visibility:visible;mso-wrap-style:square;v-text-anchor:top" coordsize="11874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" path="m,l118745,r,914400l,914400,,e" fillcolor="#09485d" stroked="f" strokeweight="0">
                  <v:stroke miterlimit="83231f" joinstyle="miter"/>
                  <v:path arrowok="t" textboxrect="0,0,118745,914400"/>
                </v:shape>
                <v:rect id="Rectangle 91" o:spid="_x0000_s1029" style="position:absolute;left:2066;top:4278;width:1114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113386" w:rsidRDefault="001E19D4">
                        <w:r>
                          <w:rPr>
                            <w:rFonts w:ascii="Sitka Small" w:eastAsia="Sitka Small" w:hAnsi="Sitka Small" w:cs="Sitka Small"/>
                            <w:color w:val="205C24"/>
                            <w:sz w:val="26"/>
                          </w:rPr>
                          <w:t xml:space="preserve">LARIMER </w:t>
                        </w:r>
                      </w:p>
                    </w:txbxContent>
                  </v:textbox>
                </v:rect>
                <v:rect id="Rectangle 92" o:spid="_x0000_s1030" style="position:absolute;left:10455;top:4278;width:12038;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113386" w:rsidRDefault="001E19D4">
                        <w:r>
                          <w:rPr>
                            <w:rFonts w:ascii="Sitka Small" w:eastAsia="Sitka Small" w:hAnsi="Sitka Small" w:cs="Sitka Small"/>
                            <w:color w:val="205C24"/>
                            <w:sz w:val="26"/>
                          </w:rPr>
                          <w:t xml:space="preserve">COUNTY | </w:t>
                        </w:r>
                      </w:p>
                    </w:txbxContent>
                  </v:textbox>
                </v:rect>
                <v:rect id="Rectangle 93" o:spid="_x0000_s1031" style="position:absolute;left:19538;top:4278;width:50287;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113386" w:rsidRDefault="001E19D4">
                        <w:r>
                          <w:rPr>
                            <w:rFonts w:ascii="Sitka Small" w:eastAsia="Sitka Small" w:hAnsi="Sitka Small" w:cs="Sitka Small"/>
                            <w:color w:val="205C24"/>
                            <w:sz w:val="26"/>
                          </w:rPr>
                          <w:t>LOCAL EMERGENCY PLANNING COMMITTEE</w:t>
                        </w:r>
                      </w:p>
                    </w:txbxContent>
                  </v:textbox>
                </v:rect>
                <v:rect id="Rectangle 94" o:spid="_x0000_s1032" style="position:absolute;left:57365;top:4278;width:679;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113386" w:rsidRDefault="001E19D4">
                        <w:r>
                          <w:rPr>
                            <w:rFonts w:ascii="Sitka Small" w:eastAsia="Sitka Small" w:hAnsi="Sitka Small" w:cs="Sitka Small"/>
                            <w:color w:val="205C24"/>
                            <w:sz w:val="26"/>
                          </w:rPr>
                          <w:t xml:space="preserve"> </w:t>
                        </w:r>
                      </w:p>
                    </w:txbxContent>
                  </v:textbox>
                </v:rect>
                <v:rect id="Rectangle 95" o:spid="_x0000_s1033" style="position:absolute;left:2066;top:7973;width:267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113386" w:rsidRDefault="001E19D4">
                        <w:r>
                          <w:rPr>
                            <w:color w:val="205C24"/>
                            <w:sz w:val="18"/>
                          </w:rPr>
                          <w:t>P.O. Box 1190, Fort Collins, Colorado 80522</w:t>
                        </w:r>
                      </w:p>
                    </w:txbxContent>
                  </v:textbox>
                </v:rect>
                <v:rect id="Rectangle 96" o:spid="_x0000_s1034" style="position:absolute;left:22205;top:7973;width:46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113386" w:rsidRDefault="001E19D4">
                        <w:r>
                          <w:rPr>
                            <w:color w:val="205C24"/>
                            <w:sz w:val="18"/>
                          </w:rPr>
                          <w:t>-</w:t>
                        </w:r>
                      </w:p>
                    </w:txbxContent>
                  </v:textbox>
                </v:rect>
                <v:rect id="Rectangle 699" o:spid="_x0000_s1035" style="position:absolute;left:22555;top:7973;width:309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113386" w:rsidRDefault="001E19D4">
                        <w:r>
                          <w:rPr>
                            <w:color w:val="205C24"/>
                            <w:sz w:val="18"/>
                          </w:rPr>
                          <w:t>1190</w:t>
                        </w:r>
                      </w:p>
                    </w:txbxContent>
                  </v:textbox>
                </v:rect>
                <v:rect id="Rectangle 700" o:spid="_x0000_s1036" style="position:absolute;left:24872;top:7973;width:171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113386" w:rsidRDefault="001E19D4">
                        <w:r>
                          <w:rPr>
                            <w:color w:val="205C24"/>
                            <w:sz w:val="18"/>
                          </w:rPr>
                          <w:t>, 970.498.7010, Larimer.org</w:t>
                        </w:r>
                      </w:p>
                    </w:txbxContent>
                  </v:textbox>
                </v:rect>
                <v:rect id="Rectangle 98" o:spid="_x0000_s1037" style="position:absolute;left:37769;top:797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113386" w:rsidRDefault="001E19D4">
                        <w:r>
                          <w:rPr>
                            <w:color w:val="205C24"/>
                            <w:sz w:val="18"/>
                          </w:rPr>
                          <w:t xml:space="preserve"> </w:t>
                        </w:r>
                      </w:p>
                    </w:txbxContent>
                  </v:textbox>
                </v:rect>
                <v:shape id="Shape 99" o:spid="_x0000_s1038" style="position:absolute;left:1143;top:6858;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" path="m,l5943600,e" filled="f" strokecolor="#09485d" strokeweight="2pt">
                  <v:path arrowok="t" textboxrect="0,0,5943600,0"/>
                </v:shape>
                <w10:anchorlock/>
              </v:group>
            </w:pict>
          </mc:Fallback>
        </mc:AlternateContent>
      </w:r>
    </w:p>
    <w:p w:rsidR="00113386" w:rsidRDefault="00113386" w:rsidP="001836C2">
      <w:pPr>
        <w:spacing w:after="0"/>
        <w:jc w:val="center"/>
      </w:pPr>
    </w:p>
    <w:p w:rsidR="00113386" w:rsidRPr="00232724" w:rsidRDefault="001E19D4" w:rsidP="001836C2">
      <w:pPr>
        <w:spacing w:after="0"/>
        <w:ind w:left="447" w:right="2" w:hanging="10"/>
        <w:jc w:val="center"/>
        <w:rPr>
          <w:rFonts w:asciiTheme="minorHAnsi" w:hAnsiTheme="minorHAnsi" w:cstheme="minorHAnsi"/>
        </w:rPr>
      </w:pPr>
      <w:r w:rsidRPr="00232724">
        <w:rPr>
          <w:rFonts w:asciiTheme="minorHAnsi" w:eastAsia="Cambria" w:hAnsiTheme="minorHAnsi" w:cstheme="minorHAnsi"/>
          <w:b/>
        </w:rPr>
        <w:t>Larimer County LEPC</w:t>
      </w:r>
    </w:p>
    <w:p w:rsidR="00113386" w:rsidRPr="00232724" w:rsidRDefault="001836C2" w:rsidP="001836C2">
      <w:pPr>
        <w:spacing w:after="0"/>
        <w:ind w:left="3600"/>
        <w:rPr>
          <w:rFonts w:asciiTheme="minorHAnsi" w:hAnsiTheme="minorHAnsi" w:cstheme="minorHAnsi"/>
        </w:rPr>
      </w:pPr>
      <w:r>
        <w:rPr>
          <w:rFonts w:asciiTheme="minorHAnsi" w:eastAsia="Cambria" w:hAnsiTheme="minorHAnsi" w:cstheme="minorHAnsi"/>
          <w:b/>
        </w:rPr>
        <w:t>Tuesday May 14</w:t>
      </w:r>
      <w:r w:rsidRPr="001836C2">
        <w:rPr>
          <w:rFonts w:asciiTheme="minorHAnsi" w:eastAsia="Cambria" w:hAnsiTheme="minorHAnsi" w:cstheme="minorHAnsi"/>
          <w:b/>
          <w:vertAlign w:val="superscript"/>
        </w:rPr>
        <w:t>th</w:t>
      </w:r>
      <w:r>
        <w:rPr>
          <w:rFonts w:asciiTheme="minorHAnsi" w:eastAsia="Cambria" w:hAnsiTheme="minorHAnsi" w:cstheme="minorHAnsi"/>
          <w:b/>
        </w:rPr>
        <w:t>, 2019</w:t>
      </w:r>
    </w:p>
    <w:p w:rsidR="00113386" w:rsidRPr="00232724" w:rsidRDefault="001836C2" w:rsidP="001836C2">
      <w:pPr>
        <w:spacing w:after="0"/>
        <w:ind w:left="3610"/>
        <w:rPr>
          <w:rFonts w:asciiTheme="minorHAnsi" w:hAnsiTheme="minorHAnsi" w:cstheme="minorHAnsi"/>
        </w:rPr>
      </w:pPr>
      <w:r>
        <w:rPr>
          <w:rFonts w:asciiTheme="minorHAnsi" w:eastAsia="Cambria" w:hAnsiTheme="minorHAnsi" w:cstheme="minorHAnsi"/>
          <w:b/>
        </w:rPr>
        <w:t xml:space="preserve">      Anhe</w:t>
      </w:r>
      <w:r w:rsidR="0088491C">
        <w:rPr>
          <w:rFonts w:asciiTheme="minorHAnsi" w:eastAsia="Cambria" w:hAnsiTheme="minorHAnsi" w:cstheme="minorHAnsi"/>
          <w:b/>
        </w:rPr>
        <w:t>u</w:t>
      </w:r>
      <w:r>
        <w:rPr>
          <w:rFonts w:asciiTheme="minorHAnsi" w:eastAsia="Cambria" w:hAnsiTheme="minorHAnsi" w:cstheme="minorHAnsi"/>
          <w:b/>
        </w:rPr>
        <w:t>ser Busch</w:t>
      </w:r>
    </w:p>
    <w:p w:rsidR="001836C2" w:rsidRPr="0088491C" w:rsidRDefault="001836C2" w:rsidP="001836C2">
      <w:pPr>
        <w:spacing w:after="20"/>
        <w:ind w:left="494"/>
        <w:jc w:val="center"/>
        <w:rPr>
          <w:rFonts w:asciiTheme="minorHAnsi" w:hAnsiTheme="minorHAnsi" w:cstheme="minorHAnsi"/>
          <w:b/>
          <w:color w:val="222222"/>
          <w:shd w:val="clear" w:color="auto" w:fill="FFFFFF"/>
        </w:rPr>
      </w:pPr>
      <w:r w:rsidRPr="0088491C">
        <w:rPr>
          <w:rFonts w:asciiTheme="minorHAnsi" w:hAnsiTheme="minorHAnsi" w:cstheme="minorHAnsi"/>
          <w:b/>
          <w:color w:val="222222"/>
          <w:shd w:val="clear" w:color="auto" w:fill="FFFFFF"/>
        </w:rPr>
        <w:t>3823 Mountain Vista Dr</w:t>
      </w:r>
    </w:p>
    <w:p w:rsidR="001836C2" w:rsidRPr="0088491C" w:rsidRDefault="001836C2" w:rsidP="0088491C">
      <w:pPr>
        <w:spacing w:after="20"/>
        <w:ind w:left="494"/>
        <w:jc w:val="center"/>
        <w:rPr>
          <w:rFonts w:asciiTheme="minorHAnsi" w:hAnsiTheme="minorHAnsi" w:cstheme="minorHAnsi"/>
          <w:b/>
          <w:color w:val="222222"/>
          <w:shd w:val="clear" w:color="auto" w:fill="FFFFFF"/>
        </w:rPr>
      </w:pPr>
      <w:r w:rsidRPr="0088491C">
        <w:rPr>
          <w:rFonts w:asciiTheme="minorHAnsi" w:hAnsiTheme="minorHAnsi" w:cstheme="minorHAnsi"/>
          <w:b/>
          <w:color w:val="222222"/>
          <w:shd w:val="clear" w:color="auto" w:fill="FFFFFF"/>
        </w:rPr>
        <w:t>Fort Collins</w:t>
      </w:r>
      <w:r w:rsidR="0088491C">
        <w:rPr>
          <w:rFonts w:asciiTheme="minorHAnsi" w:hAnsiTheme="minorHAnsi" w:cstheme="minorHAnsi"/>
          <w:b/>
          <w:color w:val="222222"/>
          <w:shd w:val="clear" w:color="auto" w:fill="FFFFFF"/>
        </w:rPr>
        <w:t xml:space="preserve">, </w:t>
      </w:r>
      <w:r w:rsidRPr="0088491C">
        <w:rPr>
          <w:rFonts w:asciiTheme="minorHAnsi" w:hAnsiTheme="minorHAnsi" w:cstheme="minorHAnsi"/>
          <w:b/>
          <w:color w:val="222222"/>
          <w:shd w:val="clear" w:color="auto" w:fill="FFFFFF"/>
        </w:rPr>
        <w:t>CO, 80524</w:t>
      </w:r>
    </w:p>
    <w:p w:rsidR="00113386" w:rsidRPr="00232724" w:rsidRDefault="001E19D4">
      <w:pPr>
        <w:spacing w:after="20"/>
        <w:ind w:left="494"/>
        <w:jc w:val="center"/>
        <w:rPr>
          <w:rFonts w:asciiTheme="minorHAnsi" w:hAnsiTheme="minorHAnsi" w:cstheme="minorHAnsi"/>
        </w:rPr>
      </w:pPr>
      <w:r w:rsidRPr="00232724">
        <w:rPr>
          <w:rFonts w:asciiTheme="minorHAnsi" w:eastAsia="Cambria" w:hAnsiTheme="minorHAnsi" w:cstheme="minorHAnsi"/>
        </w:rPr>
        <w:t xml:space="preserve"> </w:t>
      </w:r>
    </w:p>
    <w:p w:rsidR="00113386" w:rsidRPr="00232724" w:rsidRDefault="001E19D4">
      <w:pPr>
        <w:numPr>
          <w:ilvl w:val="0"/>
          <w:numId w:val="1"/>
        </w:numPr>
        <w:spacing w:after="0" w:line="261" w:lineRule="auto"/>
        <w:ind w:hanging="361"/>
        <w:rPr>
          <w:rFonts w:asciiTheme="minorHAnsi" w:hAnsiTheme="minorHAnsi" w:cstheme="minorHAnsi"/>
        </w:rPr>
      </w:pPr>
      <w:r w:rsidRPr="00232724">
        <w:rPr>
          <w:rFonts w:asciiTheme="minorHAnsi" w:eastAsia="Cambria" w:hAnsiTheme="minorHAnsi" w:cstheme="minorHAnsi"/>
          <w:b/>
        </w:rPr>
        <w:t>Call to Order</w:t>
      </w:r>
      <w:r w:rsidRPr="00232724">
        <w:rPr>
          <w:rFonts w:asciiTheme="minorHAnsi" w:eastAsia="Cambria" w:hAnsiTheme="minorHAnsi" w:cstheme="minorHAnsi"/>
        </w:rPr>
        <w:t xml:space="preserve"> </w:t>
      </w:r>
      <w:r w:rsidR="00E17834" w:rsidRPr="00232724">
        <w:rPr>
          <w:rFonts w:asciiTheme="minorHAnsi" w:eastAsia="Cambria" w:hAnsiTheme="minorHAnsi" w:cstheme="minorHAnsi"/>
        </w:rPr>
        <w:t xml:space="preserve">– </w:t>
      </w:r>
      <w:r w:rsidR="00E17834" w:rsidRPr="00232724">
        <w:rPr>
          <w:rFonts w:asciiTheme="minorHAnsi" w:eastAsia="Cambria" w:hAnsiTheme="minorHAnsi" w:cstheme="minorHAnsi"/>
          <w:i/>
        </w:rPr>
        <w:t xml:space="preserve">Sign in sheet passed out. </w:t>
      </w:r>
      <w:r w:rsidR="00E17834" w:rsidRPr="00232724">
        <w:rPr>
          <w:rFonts w:asciiTheme="minorHAnsi" w:eastAsia="Cambria" w:hAnsiTheme="minorHAnsi" w:cstheme="minorHAnsi"/>
        </w:rPr>
        <w:t xml:space="preserve"> </w:t>
      </w:r>
    </w:p>
    <w:p w:rsidR="006D5BC6" w:rsidRPr="00232724" w:rsidRDefault="001E19D4">
      <w:pPr>
        <w:numPr>
          <w:ilvl w:val="0"/>
          <w:numId w:val="1"/>
        </w:numPr>
        <w:spacing w:after="36" w:line="261" w:lineRule="auto"/>
        <w:ind w:hanging="361"/>
        <w:rPr>
          <w:rFonts w:asciiTheme="minorHAnsi" w:hAnsiTheme="minorHAnsi" w:cstheme="minorHAnsi"/>
        </w:rPr>
      </w:pPr>
      <w:r w:rsidRPr="00232724">
        <w:rPr>
          <w:rFonts w:asciiTheme="minorHAnsi" w:eastAsia="Cambria" w:hAnsiTheme="minorHAnsi" w:cstheme="minorHAnsi"/>
          <w:b/>
        </w:rPr>
        <w:t xml:space="preserve">Larimer County Spill </w:t>
      </w:r>
      <w:r w:rsidR="006D5BC6" w:rsidRPr="00232724">
        <w:rPr>
          <w:rFonts w:asciiTheme="minorHAnsi" w:eastAsia="Cambria" w:hAnsiTheme="minorHAnsi" w:cstheme="minorHAnsi"/>
          <w:b/>
        </w:rPr>
        <w:t xml:space="preserve">Updates </w:t>
      </w:r>
      <w:r w:rsidR="0088491C">
        <w:rPr>
          <w:rFonts w:asciiTheme="minorHAnsi" w:eastAsia="Cambria" w:hAnsiTheme="minorHAnsi" w:cstheme="minorHAnsi"/>
          <w:b/>
        </w:rPr>
        <w:t>–</w:t>
      </w:r>
      <w:r w:rsidR="006D5BC6" w:rsidRPr="00232724">
        <w:rPr>
          <w:rFonts w:asciiTheme="minorHAnsi" w:eastAsia="Cambria" w:hAnsiTheme="minorHAnsi" w:cstheme="minorHAnsi"/>
        </w:rPr>
        <w:t xml:space="preserve"> </w:t>
      </w:r>
      <w:r w:rsidR="0088491C">
        <w:rPr>
          <w:rFonts w:asciiTheme="minorHAnsi" w:eastAsia="Cambria" w:hAnsiTheme="minorHAnsi" w:cstheme="minorHAnsi"/>
          <w:i/>
        </w:rPr>
        <w:t xml:space="preserve">Anheuser Busch provided a presentation regarding the spill as well as action items. See Anheuser Busch presentation notes below. No other spills reported. </w:t>
      </w:r>
      <w:r w:rsidR="00E17834" w:rsidRPr="00232724">
        <w:rPr>
          <w:rFonts w:asciiTheme="minorHAnsi" w:eastAsia="Cambria" w:hAnsiTheme="minorHAnsi" w:cstheme="minorHAnsi"/>
          <w:i/>
        </w:rPr>
        <w:t xml:space="preserve"> </w:t>
      </w:r>
    </w:p>
    <w:p w:rsidR="000023CA" w:rsidRPr="000023CA" w:rsidRDefault="001E19D4" w:rsidP="000023CA">
      <w:pPr>
        <w:numPr>
          <w:ilvl w:val="0"/>
          <w:numId w:val="1"/>
        </w:numPr>
        <w:spacing w:after="36" w:line="261" w:lineRule="auto"/>
        <w:ind w:hanging="361"/>
        <w:rPr>
          <w:rFonts w:asciiTheme="minorHAnsi" w:hAnsiTheme="minorHAnsi" w:cstheme="minorHAnsi"/>
        </w:rPr>
      </w:pPr>
      <w:r w:rsidRPr="00232724">
        <w:rPr>
          <w:rFonts w:asciiTheme="minorHAnsi" w:eastAsia="Cambria" w:hAnsiTheme="minorHAnsi" w:cstheme="minorHAnsi"/>
          <w:b/>
        </w:rPr>
        <w:t>Legislative/Regulatory Items</w:t>
      </w:r>
      <w:r w:rsidRPr="00232724">
        <w:rPr>
          <w:rFonts w:asciiTheme="minorHAnsi" w:eastAsia="Cambria" w:hAnsiTheme="minorHAnsi" w:cstheme="minorHAnsi"/>
        </w:rPr>
        <w:t xml:space="preserve"> </w:t>
      </w:r>
      <w:r w:rsidR="006D5BC6" w:rsidRPr="00232724">
        <w:rPr>
          <w:rFonts w:asciiTheme="minorHAnsi" w:eastAsia="Cambria" w:hAnsiTheme="minorHAnsi" w:cstheme="minorHAnsi"/>
        </w:rPr>
        <w:t xml:space="preserve">– </w:t>
      </w:r>
      <w:proofErr w:type="spellStart"/>
      <w:r w:rsidR="0088491C">
        <w:rPr>
          <w:rFonts w:asciiTheme="minorHAnsi" w:eastAsia="Cambria" w:hAnsiTheme="minorHAnsi" w:cstheme="minorHAnsi"/>
          <w:i/>
        </w:rPr>
        <w:t>Bre</w:t>
      </w:r>
      <w:proofErr w:type="spellEnd"/>
      <w:r w:rsidR="0088491C">
        <w:rPr>
          <w:rFonts w:asciiTheme="minorHAnsi" w:eastAsia="Cambria" w:hAnsiTheme="minorHAnsi" w:cstheme="minorHAnsi"/>
          <w:i/>
        </w:rPr>
        <w:t xml:space="preserve"> </w:t>
      </w:r>
      <w:proofErr w:type="spellStart"/>
      <w:r w:rsidR="0088491C">
        <w:rPr>
          <w:rFonts w:asciiTheme="minorHAnsi" w:eastAsia="Cambria" w:hAnsiTheme="minorHAnsi" w:cstheme="minorHAnsi"/>
          <w:i/>
        </w:rPr>
        <w:t>Bockstahler</w:t>
      </w:r>
      <w:proofErr w:type="spellEnd"/>
      <w:r w:rsidR="0088491C">
        <w:rPr>
          <w:rFonts w:asciiTheme="minorHAnsi" w:eastAsia="Cambria" w:hAnsiTheme="minorHAnsi" w:cstheme="minorHAnsi"/>
          <w:i/>
        </w:rPr>
        <w:t xml:space="preserve"> from EPA provided a presentation on the RMP updates and regulations. See Attached Handout from </w:t>
      </w:r>
      <w:proofErr w:type="spellStart"/>
      <w:r w:rsidR="0088491C">
        <w:rPr>
          <w:rFonts w:asciiTheme="minorHAnsi" w:eastAsia="Cambria" w:hAnsiTheme="minorHAnsi" w:cstheme="minorHAnsi"/>
          <w:i/>
        </w:rPr>
        <w:t>Bre</w:t>
      </w:r>
      <w:proofErr w:type="spellEnd"/>
      <w:r w:rsidR="0088491C">
        <w:rPr>
          <w:rFonts w:asciiTheme="minorHAnsi" w:eastAsia="Cambria" w:hAnsiTheme="minorHAnsi" w:cstheme="minorHAnsi"/>
          <w:i/>
        </w:rPr>
        <w:t xml:space="preserve">. </w:t>
      </w:r>
      <w:r w:rsidR="0088491C">
        <w:rPr>
          <w:rFonts w:asciiTheme="minorHAnsi" w:hAnsiTheme="minorHAnsi" w:cstheme="minorHAnsi"/>
        </w:rPr>
        <w:t xml:space="preserve">Kohl also mentioned the EPCRA changes to the Water Infrastructure Act. Kohl will be reaching out to water providers to ensure that they are supported in getting Risk Assessments completed so they can stay in compliance with new regulation. </w:t>
      </w:r>
    </w:p>
    <w:p w:rsidR="006D5BC6" w:rsidRPr="0088491C" w:rsidRDefault="001E19D4" w:rsidP="0088491C">
      <w:pPr>
        <w:numPr>
          <w:ilvl w:val="0"/>
          <w:numId w:val="1"/>
        </w:numPr>
        <w:spacing w:after="36" w:line="261" w:lineRule="auto"/>
        <w:ind w:hanging="361"/>
        <w:rPr>
          <w:rFonts w:asciiTheme="minorHAnsi" w:hAnsiTheme="minorHAnsi" w:cstheme="minorHAnsi"/>
          <w:i/>
        </w:rPr>
      </w:pPr>
      <w:r w:rsidRPr="00232724">
        <w:rPr>
          <w:rFonts w:asciiTheme="minorHAnsi" w:eastAsia="Cambria" w:hAnsiTheme="minorHAnsi" w:cstheme="minorHAnsi"/>
          <w:b/>
        </w:rPr>
        <w:t xml:space="preserve">Presentation: </w:t>
      </w:r>
      <w:r w:rsidR="00E17834" w:rsidRPr="00232724">
        <w:rPr>
          <w:rFonts w:asciiTheme="minorHAnsi" w:eastAsia="Courier New" w:hAnsiTheme="minorHAnsi" w:cstheme="minorHAnsi"/>
          <w:b/>
        </w:rPr>
        <w:t>-</w:t>
      </w:r>
      <w:r w:rsidRPr="00232724">
        <w:rPr>
          <w:rFonts w:asciiTheme="minorHAnsi" w:eastAsia="Arial" w:hAnsiTheme="minorHAnsi" w:cstheme="minorHAnsi"/>
          <w:b/>
        </w:rPr>
        <w:t xml:space="preserve"> </w:t>
      </w:r>
      <w:r w:rsidR="0088491C" w:rsidRPr="00AF6757">
        <w:rPr>
          <w:rFonts w:asciiTheme="minorHAnsi" w:eastAsia="Cambria" w:hAnsiTheme="minorHAnsi" w:cstheme="minorHAnsi"/>
        </w:rPr>
        <w:t>Anheuser Busch</w:t>
      </w:r>
    </w:p>
    <w:p w:rsidR="0088491C" w:rsidRPr="00AF6757" w:rsidRDefault="00AF6757" w:rsidP="00AF6757">
      <w:pPr>
        <w:pStyle w:val="ListParagraph"/>
        <w:numPr>
          <w:ilvl w:val="1"/>
          <w:numId w:val="1"/>
        </w:numPr>
        <w:spacing w:after="36" w:line="261" w:lineRule="auto"/>
        <w:rPr>
          <w:rFonts w:asciiTheme="minorHAnsi" w:hAnsiTheme="minorHAnsi" w:cstheme="minorHAnsi"/>
          <w:i/>
        </w:rPr>
      </w:pPr>
      <w:r>
        <w:rPr>
          <w:rFonts w:asciiTheme="minorHAnsi" w:hAnsiTheme="minorHAnsi" w:cstheme="minorHAnsi"/>
          <w:i/>
        </w:rPr>
        <w:t xml:space="preserve">Aaron Schulte from </w:t>
      </w:r>
      <w:r w:rsidR="0088491C" w:rsidRPr="00AF6757">
        <w:rPr>
          <w:rFonts w:asciiTheme="minorHAnsi" w:hAnsiTheme="minorHAnsi" w:cstheme="minorHAnsi"/>
          <w:i/>
        </w:rPr>
        <w:t xml:space="preserve">Anheuser Busch provided a presentation on their facility and the ammonia spill from </w:t>
      </w:r>
      <w:r w:rsidRPr="00AF6757">
        <w:rPr>
          <w:rFonts w:asciiTheme="minorHAnsi" w:hAnsiTheme="minorHAnsi" w:cstheme="minorHAnsi"/>
          <w:i/>
        </w:rPr>
        <w:t>December 2018. Anheuser Busch will be working on</w:t>
      </w:r>
      <w:r>
        <w:rPr>
          <w:rFonts w:asciiTheme="minorHAnsi" w:hAnsiTheme="minorHAnsi" w:cstheme="minorHAnsi"/>
          <w:i/>
        </w:rPr>
        <w:t xml:space="preserve"> a few </w:t>
      </w:r>
      <w:r w:rsidRPr="00AF6757">
        <w:rPr>
          <w:rFonts w:asciiTheme="minorHAnsi" w:hAnsiTheme="minorHAnsi" w:cstheme="minorHAnsi"/>
          <w:i/>
        </w:rPr>
        <w:t xml:space="preserve">items to increase their capability including </w:t>
      </w:r>
      <w:r>
        <w:rPr>
          <w:rFonts w:asciiTheme="minorHAnsi" w:hAnsiTheme="minorHAnsi" w:cstheme="minorHAnsi"/>
          <w:i/>
        </w:rPr>
        <w:t xml:space="preserve">additional </w:t>
      </w:r>
      <w:r w:rsidRPr="00AF6757">
        <w:rPr>
          <w:rFonts w:asciiTheme="minorHAnsi" w:hAnsiTheme="minorHAnsi" w:cstheme="minorHAnsi"/>
          <w:i/>
        </w:rPr>
        <w:t>ICS training. Anheuser Busch reported that their internal hazmat team was incredibly successful in tying in with responders from Poudre Fire Authority</w:t>
      </w:r>
      <w:r>
        <w:rPr>
          <w:rFonts w:asciiTheme="minorHAnsi" w:hAnsiTheme="minorHAnsi" w:cstheme="minorHAnsi"/>
          <w:i/>
        </w:rPr>
        <w:t xml:space="preserve">. Anheuser Busch then provided the LEPC group with a tour of the facility. </w:t>
      </w:r>
    </w:p>
    <w:p w:rsidR="000023CA" w:rsidRDefault="001E19D4" w:rsidP="000023CA">
      <w:pPr>
        <w:numPr>
          <w:ilvl w:val="0"/>
          <w:numId w:val="1"/>
        </w:numPr>
        <w:spacing w:after="36" w:line="261" w:lineRule="auto"/>
        <w:ind w:hanging="361"/>
        <w:rPr>
          <w:rFonts w:asciiTheme="minorHAnsi" w:hAnsiTheme="minorHAnsi" w:cstheme="minorHAnsi"/>
          <w:i/>
        </w:rPr>
      </w:pPr>
      <w:r w:rsidRPr="00232724">
        <w:rPr>
          <w:rFonts w:asciiTheme="minorHAnsi" w:eastAsia="Cambria" w:hAnsiTheme="minorHAnsi" w:cstheme="minorHAnsi"/>
          <w:b/>
        </w:rPr>
        <w:t>Presentation:</w:t>
      </w:r>
      <w:r w:rsidR="00E17834" w:rsidRPr="00232724">
        <w:rPr>
          <w:rFonts w:asciiTheme="minorHAnsi" w:eastAsia="Cambria" w:hAnsiTheme="minorHAnsi" w:cstheme="minorHAnsi"/>
        </w:rPr>
        <w:t xml:space="preserve"> </w:t>
      </w:r>
      <w:r w:rsidRPr="00232724">
        <w:rPr>
          <w:rFonts w:asciiTheme="minorHAnsi" w:eastAsia="Arial" w:hAnsiTheme="minorHAnsi" w:cstheme="minorHAnsi"/>
        </w:rPr>
        <w:t xml:space="preserve"> </w:t>
      </w:r>
      <w:r w:rsidR="00AF6757">
        <w:rPr>
          <w:rFonts w:asciiTheme="minorHAnsi" w:eastAsia="Cambria" w:hAnsiTheme="minorHAnsi" w:cstheme="minorHAnsi"/>
        </w:rPr>
        <w:t>EPA - RMP Facilities</w:t>
      </w:r>
      <w:r w:rsidR="000023CA">
        <w:rPr>
          <w:rFonts w:asciiTheme="minorHAnsi" w:eastAsia="Cambria" w:hAnsiTheme="minorHAnsi" w:cstheme="minorHAnsi"/>
        </w:rPr>
        <w:t xml:space="preserve"> </w:t>
      </w:r>
    </w:p>
    <w:p w:rsidR="00AF6757" w:rsidRPr="000023CA" w:rsidRDefault="00AF6757" w:rsidP="000023CA">
      <w:pPr>
        <w:pStyle w:val="ListParagraph"/>
        <w:numPr>
          <w:ilvl w:val="1"/>
          <w:numId w:val="1"/>
        </w:numPr>
        <w:spacing w:after="36" w:line="261" w:lineRule="auto"/>
        <w:rPr>
          <w:rFonts w:asciiTheme="minorHAnsi" w:hAnsiTheme="minorHAnsi" w:cstheme="minorHAnsi"/>
          <w:i/>
        </w:rPr>
      </w:pPr>
      <w:proofErr w:type="spellStart"/>
      <w:r w:rsidRPr="000023CA">
        <w:rPr>
          <w:rFonts w:asciiTheme="minorHAnsi" w:eastAsia="Cambria" w:hAnsiTheme="minorHAnsi" w:cstheme="minorHAnsi"/>
        </w:rPr>
        <w:t>Bre</w:t>
      </w:r>
      <w:proofErr w:type="spellEnd"/>
      <w:r w:rsidRPr="000023CA">
        <w:rPr>
          <w:rFonts w:asciiTheme="minorHAnsi" w:eastAsia="Cambria" w:hAnsiTheme="minorHAnsi" w:cstheme="minorHAnsi"/>
        </w:rPr>
        <w:t xml:space="preserve"> </w:t>
      </w:r>
      <w:proofErr w:type="spellStart"/>
      <w:r w:rsidRPr="000023CA">
        <w:rPr>
          <w:rFonts w:asciiTheme="minorHAnsi" w:eastAsia="Cambria" w:hAnsiTheme="minorHAnsi" w:cstheme="minorHAnsi"/>
        </w:rPr>
        <w:t>Rockstahler</w:t>
      </w:r>
      <w:proofErr w:type="spellEnd"/>
      <w:r w:rsidRPr="000023CA">
        <w:rPr>
          <w:rFonts w:asciiTheme="minorHAnsi" w:eastAsia="Cambria" w:hAnsiTheme="minorHAnsi" w:cstheme="minorHAnsi"/>
        </w:rPr>
        <w:t xml:space="preserve"> with the EPA provided a presentation regarding RMP facilities including the 2017 amendments with current compliance obligations.</w:t>
      </w:r>
      <w:r w:rsidRPr="000023CA">
        <w:rPr>
          <w:rFonts w:asciiTheme="minorHAnsi" w:hAnsiTheme="minorHAnsi" w:cstheme="minorHAnsi"/>
          <w:i/>
        </w:rPr>
        <w:t xml:space="preserve"> For details please see the attached handout from </w:t>
      </w:r>
      <w:proofErr w:type="spellStart"/>
      <w:r w:rsidRPr="000023CA">
        <w:rPr>
          <w:rFonts w:asciiTheme="minorHAnsi" w:hAnsiTheme="minorHAnsi" w:cstheme="minorHAnsi"/>
          <w:i/>
        </w:rPr>
        <w:t>Bre</w:t>
      </w:r>
      <w:proofErr w:type="spellEnd"/>
      <w:r w:rsidRPr="000023CA">
        <w:rPr>
          <w:rFonts w:asciiTheme="minorHAnsi" w:hAnsiTheme="minorHAnsi" w:cstheme="minorHAnsi"/>
          <w:i/>
        </w:rPr>
        <w:t xml:space="preserve">. </w:t>
      </w:r>
    </w:p>
    <w:p w:rsidR="00AF6757" w:rsidRPr="00AF6757" w:rsidRDefault="00AF6757" w:rsidP="00AF6757">
      <w:pPr>
        <w:spacing w:after="36" w:line="261" w:lineRule="auto"/>
        <w:ind w:left="1440"/>
        <w:rPr>
          <w:rFonts w:asciiTheme="minorHAnsi" w:hAnsiTheme="minorHAnsi" w:cstheme="minorHAnsi"/>
          <w:i/>
        </w:rPr>
      </w:pPr>
    </w:p>
    <w:p w:rsidR="00B22039" w:rsidRPr="000023CA" w:rsidRDefault="00E17834">
      <w:pPr>
        <w:numPr>
          <w:ilvl w:val="0"/>
          <w:numId w:val="1"/>
        </w:numPr>
        <w:spacing w:after="36" w:line="261" w:lineRule="auto"/>
        <w:ind w:hanging="361"/>
        <w:rPr>
          <w:rFonts w:asciiTheme="minorHAnsi" w:hAnsiTheme="minorHAnsi" w:cstheme="minorHAnsi"/>
        </w:rPr>
      </w:pPr>
      <w:r w:rsidRPr="00232724">
        <w:rPr>
          <w:rFonts w:asciiTheme="minorHAnsi" w:eastAsia="Cambria" w:hAnsiTheme="minorHAnsi" w:cstheme="minorHAnsi"/>
          <w:b/>
        </w:rPr>
        <w:t>Other Business:</w:t>
      </w:r>
      <w:r w:rsidRPr="00232724">
        <w:rPr>
          <w:rFonts w:asciiTheme="minorHAnsi" w:eastAsia="Cambria" w:hAnsiTheme="minorHAnsi" w:cstheme="minorHAnsi"/>
        </w:rPr>
        <w:t xml:space="preserve"> </w:t>
      </w:r>
    </w:p>
    <w:p w:rsidR="000023CA" w:rsidRPr="006B664C" w:rsidRDefault="000023CA" w:rsidP="000023CA">
      <w:pPr>
        <w:numPr>
          <w:ilvl w:val="1"/>
          <w:numId w:val="1"/>
        </w:numPr>
        <w:spacing w:after="36" w:line="261" w:lineRule="auto"/>
        <w:ind w:hanging="361"/>
        <w:rPr>
          <w:rFonts w:asciiTheme="minorHAnsi" w:hAnsiTheme="minorHAnsi" w:cstheme="minorHAnsi"/>
        </w:rPr>
      </w:pPr>
      <w:r>
        <w:rPr>
          <w:rFonts w:asciiTheme="minorHAnsi" w:hAnsiTheme="minorHAnsi" w:cstheme="minorHAnsi"/>
        </w:rPr>
        <w:t xml:space="preserve">Kohl Parrott handed out the Larimer County ESF 10 and the table of contents from the Teton County HazMat plan. The group looked through both handouts and had a discussion regarding what would be a benefit to the Larimer County HazMat/LEPC Plan that Kohl and a few others will be working on. Please see attached handout and provide Kohl additional feedback if desired at </w:t>
      </w:r>
      <w:hyperlink r:id="rId5" w:history="1">
        <w:r w:rsidRPr="00CD2037">
          <w:rPr>
            <w:rStyle w:val="Hyperlink"/>
            <w:rFonts w:asciiTheme="minorHAnsi" w:hAnsiTheme="minorHAnsi" w:cstheme="minorHAnsi"/>
          </w:rPr>
          <w:t>parrotck@co.larimer.co.us</w:t>
        </w:r>
      </w:hyperlink>
      <w:r>
        <w:rPr>
          <w:rFonts w:asciiTheme="minorHAnsi" w:hAnsiTheme="minorHAnsi" w:cstheme="minorHAnsi"/>
        </w:rPr>
        <w:t xml:space="preserve">. </w:t>
      </w:r>
    </w:p>
    <w:p w:rsidR="00113386" w:rsidRPr="000023CA" w:rsidRDefault="001E19D4">
      <w:pPr>
        <w:numPr>
          <w:ilvl w:val="0"/>
          <w:numId w:val="1"/>
        </w:numPr>
        <w:spacing w:after="0" w:line="261" w:lineRule="auto"/>
        <w:ind w:hanging="361"/>
        <w:rPr>
          <w:rFonts w:asciiTheme="minorHAnsi" w:hAnsiTheme="minorHAnsi" w:cstheme="minorHAnsi"/>
          <w:b/>
        </w:rPr>
      </w:pPr>
      <w:r w:rsidRPr="00232724">
        <w:rPr>
          <w:rFonts w:asciiTheme="minorHAnsi" w:eastAsia="Cambria" w:hAnsiTheme="minorHAnsi" w:cstheme="minorHAnsi"/>
          <w:b/>
        </w:rPr>
        <w:t xml:space="preserve">Adjournment </w:t>
      </w:r>
    </w:p>
    <w:p w:rsidR="000023CA" w:rsidRPr="00232724" w:rsidRDefault="000023CA" w:rsidP="000023CA">
      <w:pPr>
        <w:numPr>
          <w:ilvl w:val="1"/>
          <w:numId w:val="1"/>
        </w:numPr>
        <w:spacing w:after="0" w:line="261" w:lineRule="auto"/>
        <w:ind w:hanging="361"/>
        <w:rPr>
          <w:rFonts w:asciiTheme="minorHAnsi" w:hAnsiTheme="minorHAnsi" w:cstheme="minorHAnsi"/>
          <w:b/>
        </w:rPr>
      </w:pPr>
      <w:r w:rsidRPr="000023CA">
        <w:rPr>
          <w:rFonts w:asciiTheme="minorHAnsi" w:hAnsiTheme="minorHAnsi" w:cstheme="minorHAnsi"/>
        </w:rPr>
        <w:t xml:space="preserve">Due to the LEPC being held in May, the next LEPC meeting </w:t>
      </w:r>
      <w:r w:rsidR="00AE0C75">
        <w:rPr>
          <w:rFonts w:asciiTheme="minorHAnsi" w:hAnsiTheme="minorHAnsi" w:cstheme="minorHAnsi"/>
        </w:rPr>
        <w:t>is currently scheduled for</w:t>
      </w:r>
      <w:bookmarkStart w:id="0" w:name="_GoBack"/>
      <w:bookmarkEnd w:id="0"/>
      <w:r w:rsidRPr="000023CA">
        <w:rPr>
          <w:rFonts w:asciiTheme="minorHAnsi" w:hAnsiTheme="minorHAnsi" w:cstheme="minorHAnsi"/>
        </w:rPr>
        <w:t xml:space="preserve"> August 14</w:t>
      </w:r>
      <w:r w:rsidRPr="000023CA">
        <w:rPr>
          <w:rFonts w:asciiTheme="minorHAnsi" w:hAnsiTheme="minorHAnsi" w:cstheme="minorHAnsi"/>
          <w:vertAlign w:val="superscript"/>
        </w:rPr>
        <w:t>th</w:t>
      </w:r>
      <w:r w:rsidRPr="000023CA">
        <w:rPr>
          <w:rFonts w:asciiTheme="minorHAnsi" w:hAnsiTheme="minorHAnsi" w:cstheme="minorHAnsi"/>
        </w:rPr>
        <w:t>, from 10-12am</w:t>
      </w:r>
      <w:r>
        <w:rPr>
          <w:rFonts w:asciiTheme="minorHAnsi" w:hAnsiTheme="minorHAnsi" w:cstheme="minorHAnsi"/>
          <w:b/>
        </w:rPr>
        <w:t xml:space="preserve">. </w:t>
      </w:r>
    </w:p>
    <w:p w:rsidR="00113386" w:rsidRDefault="001E19D4">
      <w:pPr>
        <w:spacing w:after="0"/>
      </w:pPr>
      <w:r>
        <w:rPr>
          <w:rFonts w:ascii="Cambria" w:eastAsia="Cambria" w:hAnsi="Cambria" w:cs="Cambria"/>
          <w:sz w:val="24"/>
        </w:rPr>
        <w:t xml:space="preserve"> </w:t>
      </w:r>
    </w:p>
    <w:p w:rsidR="00113386" w:rsidRDefault="001E19D4">
      <w:pPr>
        <w:spacing w:after="0"/>
      </w:pPr>
      <w:r>
        <w:rPr>
          <w:rFonts w:ascii="Cambria" w:eastAsia="Cambria" w:hAnsi="Cambria" w:cs="Cambria"/>
          <w:sz w:val="24"/>
        </w:rPr>
        <w:t xml:space="preserve"> </w:t>
      </w:r>
    </w:p>
    <w:p w:rsidR="00113386" w:rsidRDefault="001E19D4">
      <w:pPr>
        <w:spacing w:after="0"/>
      </w:pPr>
      <w:r>
        <w:rPr>
          <w:rFonts w:ascii="Cambria" w:eastAsia="Cambria" w:hAnsi="Cambria" w:cs="Cambria"/>
          <w:sz w:val="24"/>
        </w:rPr>
        <w:t xml:space="preserve"> </w:t>
      </w:r>
    </w:p>
    <w:p w:rsidR="00113386" w:rsidRDefault="00113386" w:rsidP="000023CA">
      <w:pPr>
        <w:spacing w:after="0"/>
      </w:pPr>
    </w:p>
    <w:sectPr w:rsidR="00113386">
      <w:pgSz w:w="12240" w:h="15840"/>
      <w:pgMar w:top="720" w:right="1876" w:bottom="72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041A"/>
    <w:multiLevelType w:val="hybridMultilevel"/>
    <w:tmpl w:val="BFEA1386"/>
    <w:lvl w:ilvl="0" w:tplc="3AC2B7C0">
      <w:numFmt w:val="bullet"/>
      <w:lvlText w:val="-"/>
      <w:lvlJc w:val="left"/>
      <w:pPr>
        <w:ind w:left="1066" w:hanging="360"/>
      </w:pPr>
      <w:rPr>
        <w:rFonts w:ascii="Cambria" w:eastAsia="Cambria" w:hAnsi="Cambria" w:cs="Cambria" w:hint="default"/>
        <w:sz w:val="2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47FE12A4"/>
    <w:multiLevelType w:val="hybridMultilevel"/>
    <w:tmpl w:val="D646C16C"/>
    <w:lvl w:ilvl="0" w:tplc="F142311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0A7B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BC0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4240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C21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A52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7E9D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85A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4C6F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114EA4"/>
    <w:multiLevelType w:val="hybridMultilevel"/>
    <w:tmpl w:val="2572C7CE"/>
    <w:lvl w:ilvl="0" w:tplc="EF58992E">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86"/>
    <w:rsid w:val="000023CA"/>
    <w:rsid w:val="000372C9"/>
    <w:rsid w:val="00113386"/>
    <w:rsid w:val="001836C2"/>
    <w:rsid w:val="001E19D4"/>
    <w:rsid w:val="00232724"/>
    <w:rsid w:val="002B722B"/>
    <w:rsid w:val="00526A5C"/>
    <w:rsid w:val="00615B6B"/>
    <w:rsid w:val="006B664C"/>
    <w:rsid w:val="006D5BC6"/>
    <w:rsid w:val="0088491C"/>
    <w:rsid w:val="00AE0C75"/>
    <w:rsid w:val="00AF6757"/>
    <w:rsid w:val="00B22039"/>
    <w:rsid w:val="00B74999"/>
    <w:rsid w:val="00B827BB"/>
    <w:rsid w:val="00C41686"/>
    <w:rsid w:val="00DB276D"/>
    <w:rsid w:val="00E17834"/>
    <w:rsid w:val="00E81299"/>
    <w:rsid w:val="00FB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FC35"/>
  <w15:docId w15:val="{718076C8-AC53-4BA7-85FC-1B582DCA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86"/>
    <w:pPr>
      <w:ind w:left="720"/>
      <w:contextualSpacing/>
    </w:pPr>
  </w:style>
  <w:style w:type="character" w:styleId="Hyperlink">
    <w:name w:val="Hyperlink"/>
    <w:basedOn w:val="DefaultParagraphFont"/>
    <w:uiPriority w:val="99"/>
    <w:unhideWhenUsed/>
    <w:rsid w:val="000372C9"/>
    <w:rPr>
      <w:color w:val="0563C1" w:themeColor="hyperlink"/>
      <w:u w:val="single"/>
    </w:rPr>
  </w:style>
  <w:style w:type="character" w:styleId="UnresolvedMention">
    <w:name w:val="Unresolved Mention"/>
    <w:basedOn w:val="DefaultParagraphFont"/>
    <w:uiPriority w:val="99"/>
    <w:semiHidden/>
    <w:unhideWhenUsed/>
    <w:rsid w:val="000372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rotck@co.larimer.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cp:lastModifiedBy>Christian Parrott</cp:lastModifiedBy>
  <cp:revision>3</cp:revision>
  <dcterms:created xsi:type="dcterms:W3CDTF">2019-05-22T21:06:00Z</dcterms:created>
  <dcterms:modified xsi:type="dcterms:W3CDTF">2019-05-24T15:37:00Z</dcterms:modified>
</cp:coreProperties>
</file>